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02" w:rsidRPr="0011433C" w:rsidRDefault="006D763C" w:rsidP="00D74875">
      <w:pPr>
        <w:ind w:left="-720"/>
        <w:rPr>
          <w:rFonts w:ascii="Breuer Condensed" w:hAnsi="Breuer Condensed"/>
          <w:b/>
          <w:color w:val="00958F"/>
          <w:sz w:val="48"/>
          <w:szCs w:val="48"/>
        </w:rPr>
      </w:pPr>
      <w:bookmarkStart w:id="0" w:name="_GoBack"/>
      <w:bookmarkEnd w:id="0"/>
      <w:r>
        <w:rPr>
          <w:rFonts w:ascii="Breuer Condensed" w:hAnsi="Breuer Condensed"/>
          <w:b/>
          <w:color w:val="00958F"/>
          <w:sz w:val="48"/>
          <w:szCs w:val="48"/>
        </w:rPr>
        <w:t xml:space="preserve">Extend Tax Incentives for Energy Efficiency </w:t>
      </w:r>
    </w:p>
    <w:p w:rsidR="006D763C" w:rsidRDefault="006D763C" w:rsidP="006D763C">
      <w:pPr>
        <w:rPr>
          <w:rFonts w:ascii="Franklin Gothic Book" w:hAnsi="Franklin Gothic Book"/>
          <w:color w:val="595959" w:themeColor="text1" w:themeTint="A6"/>
          <w:sz w:val="24"/>
          <w:szCs w:val="24"/>
        </w:rPr>
      </w:pP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Energy efficiency tax incentives have a proven track record of cutting energy use and helping consumers save money, but policies must adapt to fit with the times and our ever-shifting economic and energy needs. </w:t>
      </w:r>
      <w:r>
        <w:rPr>
          <w:rFonts w:ascii="Franklin Gothic Book" w:hAnsi="Franklin Gothic Book"/>
          <w:color w:val="595959" w:themeColor="text1" w:themeTint="A6"/>
          <w:sz w:val="24"/>
          <w:szCs w:val="24"/>
        </w:rPr>
        <w:t>We ask</w:t>
      </w: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 Congress to extend the 25C and 179D tax incentives with some modifications to make them even more effective, and to extend the successful 45L tax credit. </w:t>
      </w:r>
    </w:p>
    <w:p w:rsidR="00625687" w:rsidRPr="006D763C" w:rsidRDefault="00625687" w:rsidP="00625687">
      <w:pPr>
        <w:rPr>
          <w:rFonts w:ascii="Franklin Gothic Book" w:hAnsi="Franklin Gothic Book"/>
          <w:color w:val="595959" w:themeColor="text1" w:themeTint="A6"/>
          <w:sz w:val="24"/>
          <w:szCs w:val="24"/>
        </w:rPr>
      </w:pP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There is a growing, bipartisan, and nationwide commitment to a goal of doubling U.S. energy productivity, or cutting our energy waste in half, by 2030. A study commissioned by the Alliance to Save Energy found that doubling U.S. energy productivity by 2030 could save the nation $327 billion annually in avoided energy costs, create more than 1 million jobs, and reduce our energy imports by more than $100 billion. </w:t>
      </w:r>
      <w:r w:rsidRPr="006D763C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These new and improved energy efficiency tax incentives would help the country take a large step toward achieving this goal.</w:t>
      </w:r>
    </w:p>
    <w:p w:rsidR="00625687" w:rsidRDefault="00625687" w:rsidP="006D763C">
      <w:pPr>
        <w:rPr>
          <w:rFonts w:ascii="Franklin Gothic Book" w:hAnsi="Franklin Gothic Book"/>
          <w:b/>
          <w:sz w:val="24"/>
          <w:szCs w:val="24"/>
        </w:rPr>
      </w:pPr>
      <w:r w:rsidRPr="006D763C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Updating and extending these tax incentives will ensure that the United States does more with less (energy) to the betterment of our economy, national security, and environment. </w:t>
      </w:r>
    </w:p>
    <w:p w:rsidR="00625687" w:rsidRPr="00625687" w:rsidRDefault="00625687" w:rsidP="006D763C">
      <w:pPr>
        <w:rPr>
          <w:rFonts w:ascii="Franklin Gothic Book" w:hAnsi="Franklin Gothic Book"/>
          <w:b/>
          <w:sz w:val="24"/>
          <w:szCs w:val="24"/>
        </w:rPr>
      </w:pPr>
    </w:p>
    <w:p w:rsidR="006D763C" w:rsidRDefault="006D763C" w:rsidP="006D763C">
      <w:pPr>
        <w:rPr>
          <w:rFonts w:ascii="Franklin Gothic Book" w:hAnsi="Franklin Gothic Book"/>
          <w:color w:val="595959" w:themeColor="text1" w:themeTint="A6"/>
          <w:sz w:val="24"/>
          <w:szCs w:val="24"/>
        </w:rPr>
      </w:pPr>
      <w:r w:rsidRPr="006D763C">
        <w:rPr>
          <w:rFonts w:ascii="Franklin Gothic Book" w:hAnsi="Franklin Gothic Book"/>
          <w:b/>
          <w:color w:val="0070C0"/>
          <w:sz w:val="24"/>
          <w:szCs w:val="24"/>
        </w:rPr>
        <w:t>Section 179D</w:t>
      </w:r>
      <w:r w:rsidRPr="006D763C">
        <w:rPr>
          <w:rFonts w:ascii="Franklin Gothic Book" w:hAnsi="Franklin Gothic Book"/>
          <w:color w:val="0070C0"/>
          <w:sz w:val="24"/>
          <w:szCs w:val="24"/>
        </w:rPr>
        <w:t xml:space="preserve"> </w:t>
      </w: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promotes energy efficiency in commercial and multifamily buildings, which account for more than twenty percent of energy consumption in the United States. </w:t>
      </w:r>
    </w:p>
    <w:p w:rsidR="006D763C" w:rsidRDefault="006D763C" w:rsidP="006D763C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595959" w:themeColor="text1" w:themeTint="A6"/>
          <w:sz w:val="24"/>
          <w:szCs w:val="24"/>
        </w:rPr>
      </w:pP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>179D should be extended and revised to be a meaningful incentive for energy efficiency upgrades to retrofit existing buildings.</w:t>
      </w:r>
    </w:p>
    <w:p w:rsidR="006D763C" w:rsidRDefault="006D763C" w:rsidP="006D763C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595959" w:themeColor="text1" w:themeTint="A6"/>
          <w:sz w:val="24"/>
          <w:szCs w:val="24"/>
        </w:rPr>
      </w:pP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179D </w:t>
      </w:r>
      <w:r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should </w:t>
      </w: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>be extended t</w:t>
      </w:r>
      <w:r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hrough at least the end of 2015. </w:t>
      </w:r>
    </w:p>
    <w:p w:rsidR="006D763C" w:rsidRDefault="006D763C" w:rsidP="006D763C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595959" w:themeColor="text1" w:themeTint="A6"/>
          <w:sz w:val="24"/>
          <w:szCs w:val="24"/>
        </w:rPr>
      </w:pPr>
      <w:r>
        <w:rPr>
          <w:rFonts w:ascii="Franklin Gothic Book" w:hAnsi="Franklin Gothic Book"/>
          <w:color w:val="595959" w:themeColor="text1" w:themeTint="A6"/>
          <w:sz w:val="24"/>
          <w:szCs w:val="24"/>
        </w:rPr>
        <w:t>A</w:t>
      </w: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 new performance-based component </w:t>
      </w:r>
      <w:r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should be added </w:t>
      </w: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that rewards retrofits that produce actual and verified energy savings, and that retrofit incentives are scaled to increase with greater energy savings. </w:t>
      </w:r>
    </w:p>
    <w:p w:rsidR="006D763C" w:rsidRDefault="006D763C" w:rsidP="006D763C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595959" w:themeColor="text1" w:themeTint="A6"/>
          <w:sz w:val="24"/>
          <w:szCs w:val="24"/>
        </w:rPr>
      </w:pP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>The current incentive should be increased to a maximum of $3 per squar</w:t>
      </w:r>
      <w:r>
        <w:rPr>
          <w:rFonts w:ascii="Franklin Gothic Book" w:hAnsi="Franklin Gothic Book"/>
          <w:color w:val="595959" w:themeColor="text1" w:themeTint="A6"/>
          <w:sz w:val="24"/>
          <w:szCs w:val="24"/>
        </w:rPr>
        <w:t>e foot of improved building.</w:t>
      </w:r>
    </w:p>
    <w:p w:rsidR="006D763C" w:rsidRDefault="006D763C" w:rsidP="006D763C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595959" w:themeColor="text1" w:themeTint="A6"/>
          <w:sz w:val="24"/>
          <w:szCs w:val="24"/>
        </w:rPr>
      </w:pP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REITs should be allowed to deduct retrofit project expenses for purposes of taxable income and dividend calculations. </w:t>
      </w:r>
    </w:p>
    <w:p w:rsidR="00625687" w:rsidRDefault="00625687" w:rsidP="00625687">
      <w:pPr>
        <w:pStyle w:val="ListParagraph"/>
        <w:rPr>
          <w:rFonts w:ascii="Franklin Gothic Book" w:hAnsi="Franklin Gothic Book"/>
          <w:color w:val="595959" w:themeColor="text1" w:themeTint="A6"/>
          <w:sz w:val="24"/>
          <w:szCs w:val="24"/>
        </w:rPr>
      </w:pPr>
    </w:p>
    <w:p w:rsidR="006D763C" w:rsidRDefault="006D763C" w:rsidP="006D763C">
      <w:pPr>
        <w:rPr>
          <w:rFonts w:ascii="Franklin Gothic Book" w:hAnsi="Franklin Gothic Book"/>
          <w:color w:val="595959" w:themeColor="text1" w:themeTint="A6"/>
          <w:sz w:val="24"/>
          <w:szCs w:val="24"/>
        </w:rPr>
      </w:pPr>
      <w:r w:rsidRPr="006D763C">
        <w:rPr>
          <w:rFonts w:ascii="Franklin Gothic Book" w:hAnsi="Franklin Gothic Book"/>
          <w:b/>
          <w:color w:val="0070C0"/>
          <w:sz w:val="24"/>
          <w:szCs w:val="24"/>
        </w:rPr>
        <w:t xml:space="preserve">Section 45L </w:t>
      </w: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>promotes energy efficiency in new home</w:t>
      </w:r>
      <w:r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s. </w:t>
      </w:r>
    </w:p>
    <w:p w:rsidR="006D763C" w:rsidRDefault="006D763C" w:rsidP="006D763C">
      <w:pPr>
        <w:pStyle w:val="ListParagraph"/>
        <w:numPr>
          <w:ilvl w:val="0"/>
          <w:numId w:val="4"/>
        </w:numPr>
        <w:rPr>
          <w:rFonts w:ascii="Franklin Gothic Book" w:hAnsi="Franklin Gothic Book"/>
          <w:color w:val="595959" w:themeColor="text1" w:themeTint="A6"/>
          <w:sz w:val="24"/>
          <w:szCs w:val="24"/>
        </w:rPr>
      </w:pPr>
      <w:r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Provides </w:t>
      </w: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a credit of $2,000 for builders of homes that use 50% less energy for space heating and cooling and a $1,000 tax credit to the builder of a new manufactured home achieving 30% energy savings for heating and cooling or a manufactured home meeting the ENERGY STAR requirements. </w:t>
      </w:r>
    </w:p>
    <w:p w:rsidR="006D763C" w:rsidRPr="006D763C" w:rsidRDefault="006D763C" w:rsidP="006D763C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595959" w:themeColor="text1" w:themeTint="A6"/>
          <w:sz w:val="24"/>
          <w:szCs w:val="24"/>
        </w:rPr>
      </w:pP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lastRenderedPageBreak/>
        <w:t xml:space="preserve">The credit has been renewed several times and most recently lapsed on December 31, 2013. </w:t>
      </w:r>
      <w:r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The credit should be should </w:t>
      </w: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>be extended t</w:t>
      </w:r>
      <w:r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hrough at least the end of 2015. </w:t>
      </w:r>
    </w:p>
    <w:p w:rsidR="006D763C" w:rsidRDefault="006D763C" w:rsidP="006D763C">
      <w:pPr>
        <w:pStyle w:val="ListParagraph"/>
        <w:numPr>
          <w:ilvl w:val="0"/>
          <w:numId w:val="4"/>
        </w:numPr>
        <w:rPr>
          <w:rFonts w:ascii="Franklin Gothic Book" w:hAnsi="Franklin Gothic Book"/>
          <w:color w:val="595959" w:themeColor="text1" w:themeTint="A6"/>
          <w:sz w:val="24"/>
          <w:szCs w:val="24"/>
        </w:rPr>
      </w:pP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>When the credit was enacted likely less than 1% of new homes met the qualification levels. In recent years</w:t>
      </w:r>
      <w:r>
        <w:rPr>
          <w:rFonts w:ascii="Franklin Gothic Book" w:hAnsi="Franklin Gothic Book"/>
          <w:color w:val="595959" w:themeColor="text1" w:themeTint="A6"/>
          <w:sz w:val="24"/>
          <w:szCs w:val="24"/>
        </w:rPr>
        <w:t>,</w:t>
      </w: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 the number of homes certified as complying with the tax credit rose to about 10% of new homes sold; this growing market share is attributable in substantial part to the new and manufactured homes tax incentive.  </w:t>
      </w:r>
    </w:p>
    <w:p w:rsidR="00625687" w:rsidRPr="006D763C" w:rsidRDefault="00625687" w:rsidP="00625687">
      <w:pPr>
        <w:pStyle w:val="ListParagraph"/>
        <w:rPr>
          <w:rFonts w:ascii="Franklin Gothic Book" w:hAnsi="Franklin Gothic Book"/>
          <w:color w:val="595959" w:themeColor="text1" w:themeTint="A6"/>
          <w:sz w:val="24"/>
          <w:szCs w:val="24"/>
        </w:rPr>
      </w:pPr>
    </w:p>
    <w:p w:rsidR="006D763C" w:rsidRDefault="006D763C" w:rsidP="006D763C">
      <w:pPr>
        <w:rPr>
          <w:rFonts w:ascii="Franklin Gothic Book" w:hAnsi="Franklin Gothic Book"/>
          <w:color w:val="595959" w:themeColor="text1" w:themeTint="A6"/>
          <w:sz w:val="24"/>
          <w:szCs w:val="24"/>
        </w:rPr>
      </w:pPr>
      <w:r w:rsidRPr="006D763C">
        <w:rPr>
          <w:rFonts w:ascii="Franklin Gothic Book" w:hAnsi="Franklin Gothic Book"/>
          <w:b/>
          <w:color w:val="0070C0"/>
          <w:sz w:val="24"/>
          <w:szCs w:val="24"/>
        </w:rPr>
        <w:t>Section 25C</w:t>
      </w: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 provides a ten percent tax credit for </w:t>
      </w:r>
      <w:r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improvements to existing homes. </w:t>
      </w:r>
    </w:p>
    <w:p w:rsidR="006D763C" w:rsidRPr="006D763C" w:rsidRDefault="006D763C" w:rsidP="006D763C">
      <w:pPr>
        <w:pStyle w:val="ListParagraph"/>
        <w:numPr>
          <w:ilvl w:val="0"/>
          <w:numId w:val="4"/>
        </w:numPr>
        <w:rPr>
          <w:rFonts w:ascii="Franklin Gothic Book" w:hAnsi="Franklin Gothic Book"/>
          <w:color w:val="595959" w:themeColor="text1" w:themeTint="A6"/>
          <w:sz w:val="24"/>
          <w:szCs w:val="24"/>
        </w:rPr>
      </w:pPr>
      <w:r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Provides a credit for </w:t>
      </w: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>the purchase energy-efficient materials up to $500, providing an incentive for homeowners to choose energy-efficient products over less expensive and efficient alternatives.</w:t>
      </w:r>
    </w:p>
    <w:p w:rsidR="006D763C" w:rsidRDefault="006D763C" w:rsidP="006D763C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595959" w:themeColor="text1" w:themeTint="A6"/>
          <w:sz w:val="24"/>
          <w:szCs w:val="24"/>
        </w:rPr>
      </w:pP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The current product efficiency levels in the code, however, are out of date and </w:t>
      </w:r>
      <w:r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need to be updated to higher efficiency levels. Also the provision needs to be updated so </w:t>
      </w: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that installation costs </w:t>
      </w:r>
      <w:r>
        <w:rPr>
          <w:rFonts w:ascii="Franklin Gothic Book" w:hAnsi="Franklin Gothic Book"/>
          <w:color w:val="595959" w:themeColor="text1" w:themeTint="A6"/>
          <w:sz w:val="24"/>
          <w:szCs w:val="24"/>
        </w:rPr>
        <w:t>are</w:t>
      </w: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 included in the cost of the measure. </w:t>
      </w:r>
    </w:p>
    <w:p w:rsidR="006D763C" w:rsidRDefault="006D763C" w:rsidP="006D763C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595959" w:themeColor="text1" w:themeTint="A6"/>
          <w:sz w:val="24"/>
          <w:szCs w:val="24"/>
        </w:rPr>
      </w:pPr>
      <w:r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The credit should be should </w:t>
      </w: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>be extended t</w:t>
      </w:r>
      <w:r>
        <w:rPr>
          <w:rFonts w:ascii="Franklin Gothic Book" w:hAnsi="Franklin Gothic Book"/>
          <w:color w:val="595959" w:themeColor="text1" w:themeTint="A6"/>
          <w:sz w:val="24"/>
          <w:szCs w:val="24"/>
        </w:rPr>
        <w:t>hrough at least the end of 2015.</w:t>
      </w:r>
    </w:p>
    <w:p w:rsidR="006D763C" w:rsidRDefault="006D763C" w:rsidP="006D763C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595959" w:themeColor="text1" w:themeTint="A6"/>
          <w:sz w:val="24"/>
          <w:szCs w:val="24"/>
        </w:rPr>
      </w:pPr>
      <w:r>
        <w:rPr>
          <w:rFonts w:ascii="Franklin Gothic Book" w:hAnsi="Franklin Gothic Book"/>
          <w:color w:val="0070C0"/>
          <w:sz w:val="24"/>
          <w:szCs w:val="24"/>
        </w:rPr>
        <w:t xml:space="preserve">Section 25E:  </w:t>
      </w:r>
      <w:r>
        <w:rPr>
          <w:rFonts w:ascii="Franklin Gothic Book" w:hAnsi="Franklin Gothic Book"/>
          <w:color w:val="595959" w:themeColor="text1" w:themeTint="A6"/>
          <w:sz w:val="24"/>
          <w:szCs w:val="24"/>
        </w:rPr>
        <w:t>We would also urge lawmakers t</w:t>
      </w: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o consider using an updated 25C as a transition or companion to a new multi-year performance-based tax credit, 25E. </w:t>
      </w:r>
    </w:p>
    <w:p w:rsidR="006D763C" w:rsidRDefault="006D763C" w:rsidP="006D763C">
      <w:pPr>
        <w:pStyle w:val="ListParagraph"/>
        <w:numPr>
          <w:ilvl w:val="1"/>
          <w:numId w:val="1"/>
        </w:numPr>
        <w:rPr>
          <w:rFonts w:ascii="Franklin Gothic Book" w:hAnsi="Franklin Gothic Book"/>
          <w:color w:val="595959" w:themeColor="text1" w:themeTint="A6"/>
          <w:sz w:val="24"/>
          <w:szCs w:val="24"/>
        </w:rPr>
      </w:pP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 xml:space="preserve">The technology neutral 25E would reward energy saving levels rather than specific products, aligning taxpayer dollars directly with public policy objectives and supporting the most cost-effective improvements for each homeowner. </w:t>
      </w:r>
    </w:p>
    <w:p w:rsidR="006D763C" w:rsidRPr="006D763C" w:rsidRDefault="006D763C" w:rsidP="006D763C">
      <w:pPr>
        <w:pStyle w:val="ListParagraph"/>
        <w:numPr>
          <w:ilvl w:val="1"/>
          <w:numId w:val="1"/>
        </w:numPr>
        <w:rPr>
          <w:rFonts w:ascii="Franklin Gothic Book" w:hAnsi="Franklin Gothic Book"/>
          <w:color w:val="595959" w:themeColor="text1" w:themeTint="A6"/>
          <w:sz w:val="24"/>
          <w:szCs w:val="24"/>
        </w:rPr>
      </w:pPr>
      <w:r w:rsidRPr="006D763C">
        <w:rPr>
          <w:rFonts w:ascii="Franklin Gothic Book" w:hAnsi="Franklin Gothic Book"/>
          <w:color w:val="595959" w:themeColor="text1" w:themeTint="A6"/>
          <w:sz w:val="24"/>
          <w:szCs w:val="24"/>
        </w:rPr>
        <w:t>25E would help create an enhanced market for energy efficiency and an incentive for sound, efficient construction by trained contractors—resulting in significant energy savings and domestic job creation.</w:t>
      </w:r>
    </w:p>
    <w:p w:rsidR="00212814" w:rsidRPr="00212814" w:rsidRDefault="00212814" w:rsidP="00212814">
      <w:pPr>
        <w:rPr>
          <w:rFonts w:ascii="Franklin Gothic Book" w:hAnsi="Franklin Gothic Book"/>
          <w:sz w:val="24"/>
          <w:szCs w:val="24"/>
        </w:rPr>
      </w:pPr>
    </w:p>
    <w:p w:rsidR="00212814" w:rsidRPr="00212814" w:rsidRDefault="00212814" w:rsidP="00212814">
      <w:pPr>
        <w:rPr>
          <w:rFonts w:ascii="Franklin Gothic Book" w:hAnsi="Franklin Gothic Book"/>
          <w:sz w:val="24"/>
          <w:szCs w:val="24"/>
        </w:rPr>
      </w:pPr>
    </w:p>
    <w:sectPr w:rsidR="00212814" w:rsidRPr="00212814" w:rsidSect="00565BDF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3C" w:rsidRDefault="006D763C" w:rsidP="00596B02">
      <w:pPr>
        <w:spacing w:after="0" w:line="240" w:lineRule="auto"/>
      </w:pPr>
      <w:r>
        <w:separator/>
      </w:r>
    </w:p>
  </w:endnote>
  <w:endnote w:type="continuationSeparator" w:id="0">
    <w:p w:rsidR="006D763C" w:rsidRDefault="006D763C" w:rsidP="0059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uer Condense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72" w:rsidRPr="00282692" w:rsidRDefault="00F84772" w:rsidP="00F84772">
    <w:pPr>
      <w:pStyle w:val="Footer"/>
    </w:pPr>
  </w:p>
  <w:p w:rsidR="00F84772" w:rsidRDefault="00F84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3C" w:rsidRDefault="006D763C" w:rsidP="00596B02">
      <w:pPr>
        <w:spacing w:after="0" w:line="240" w:lineRule="auto"/>
      </w:pPr>
      <w:r>
        <w:separator/>
      </w:r>
    </w:p>
  </w:footnote>
  <w:footnote w:type="continuationSeparator" w:id="0">
    <w:p w:rsidR="006D763C" w:rsidRDefault="006D763C" w:rsidP="0059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DF" w:rsidRDefault="001075B9" w:rsidP="00565BDF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 descr="H:\Events and Marketing\InDesign Files\Corporate Materials\Fact Sheets and Templates\PDFs &amp; JPEGs\ASE-Policy Summ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vents and Marketing\InDesign Files\Corporate Materials\Fact Sheets and Templates\PDFs &amp; JPEGs\ASE-Policy Summa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01A5"/>
    <w:multiLevelType w:val="hybridMultilevel"/>
    <w:tmpl w:val="6A083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B666B"/>
    <w:multiLevelType w:val="hybridMultilevel"/>
    <w:tmpl w:val="EB68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A0F13"/>
    <w:multiLevelType w:val="hybridMultilevel"/>
    <w:tmpl w:val="9B1A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36858"/>
    <w:multiLevelType w:val="hybridMultilevel"/>
    <w:tmpl w:val="7396AF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3C"/>
    <w:rsid w:val="000424EC"/>
    <w:rsid w:val="001075B9"/>
    <w:rsid w:val="0011433C"/>
    <w:rsid w:val="001E195A"/>
    <w:rsid w:val="00212814"/>
    <w:rsid w:val="00370707"/>
    <w:rsid w:val="003A4E89"/>
    <w:rsid w:val="00460756"/>
    <w:rsid w:val="004E3E29"/>
    <w:rsid w:val="004F7B0F"/>
    <w:rsid w:val="00565BDF"/>
    <w:rsid w:val="00596B02"/>
    <w:rsid w:val="00625687"/>
    <w:rsid w:val="00674473"/>
    <w:rsid w:val="006D763C"/>
    <w:rsid w:val="007424C4"/>
    <w:rsid w:val="00A22039"/>
    <w:rsid w:val="00C15C9A"/>
    <w:rsid w:val="00D74875"/>
    <w:rsid w:val="00DD4922"/>
    <w:rsid w:val="00F8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5CCC85B-AFDD-4EC4-BCCB-0633D1EA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B0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96B02"/>
  </w:style>
  <w:style w:type="paragraph" w:styleId="Footer">
    <w:name w:val="footer"/>
    <w:basedOn w:val="Normal"/>
    <w:link w:val="FooterChar"/>
    <w:uiPriority w:val="99"/>
    <w:unhideWhenUsed/>
    <w:rsid w:val="00596B0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96B02"/>
  </w:style>
  <w:style w:type="paragraph" w:styleId="BalloonText">
    <w:name w:val="Balloon Text"/>
    <w:basedOn w:val="Normal"/>
    <w:link w:val="BalloonTextChar"/>
    <w:uiPriority w:val="99"/>
    <w:semiHidden/>
    <w:unhideWhenUsed/>
    <w:rsid w:val="0074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C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Elizabeth</dc:creator>
  <cp:lastModifiedBy>Crumpacker, Liz</cp:lastModifiedBy>
  <cp:revision>2</cp:revision>
  <cp:lastPrinted>2014-07-21T17:55:00Z</cp:lastPrinted>
  <dcterms:created xsi:type="dcterms:W3CDTF">2014-09-11T15:48:00Z</dcterms:created>
  <dcterms:modified xsi:type="dcterms:W3CDTF">2014-09-11T15:48:00Z</dcterms:modified>
</cp:coreProperties>
</file>